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olor w:val="000000"/>
          <w:kern w:val="0"/>
          <w:sz w:val="24"/>
        </w:rPr>
      </w:pPr>
      <w:r>
        <w:rPr>
          <w:rFonts w:ascii="仿宋" w:hAnsi="仿宋" w:eastAsia="仿宋"/>
          <w:color w:val="000000"/>
          <w:kern w:val="0"/>
          <w:sz w:val="28"/>
          <w:szCs w:val="28"/>
        </w:rPr>
        <w:t>项目名称：</w:t>
      </w:r>
      <w:r>
        <w:rPr>
          <w:b/>
          <w:color w:val="000000"/>
          <w:sz w:val="24"/>
        </w:rPr>
        <w:t>免疫相关性皮肤病防治新体系创建与推广应用</w:t>
      </w:r>
    </w:p>
    <w:p>
      <w:pPr>
        <w:adjustRightInd w:val="0"/>
        <w:snapToGrid w:val="0"/>
        <w:spacing w:line="500" w:lineRule="exact"/>
        <w:rPr>
          <w:rFonts w:hint="eastAsia" w:ascii="宋体" w:hAnsi="宋体"/>
          <w:b/>
          <w:color w:val="000000"/>
          <w:kern w:val="0"/>
          <w:sz w:val="28"/>
          <w:szCs w:val="28"/>
        </w:rPr>
      </w:pPr>
      <w:r>
        <w:rPr>
          <w:rFonts w:hint="eastAsia" w:ascii="仿宋" w:hAnsi="仿宋" w:eastAsia="仿宋"/>
          <w:color w:val="000000"/>
          <w:kern w:val="0"/>
          <w:sz w:val="28"/>
          <w:szCs w:val="28"/>
        </w:rPr>
        <w:t>申报奖种：</w:t>
      </w:r>
      <w:r>
        <w:rPr>
          <w:rFonts w:hint="eastAsia" w:ascii="宋体" w:hAnsi="宋体"/>
          <w:b/>
          <w:color w:val="000000"/>
          <w:kern w:val="0"/>
          <w:sz w:val="28"/>
          <w:szCs w:val="28"/>
        </w:rPr>
        <w:t>华夏医学科技奖</w:t>
      </w:r>
    </w:p>
    <w:p>
      <w:pPr>
        <w:adjustRightInd w:val="0"/>
        <w:snapToGrid w:val="0"/>
        <w:spacing w:line="500" w:lineRule="exact"/>
        <w:rPr>
          <w:rFonts w:ascii="宋体" w:hAnsi="宋体"/>
          <w:b/>
          <w:color w:val="000000"/>
          <w:kern w:val="0"/>
          <w:sz w:val="28"/>
          <w:szCs w:val="28"/>
        </w:rPr>
      </w:pPr>
      <w:r>
        <w:rPr>
          <w:rFonts w:ascii="仿宋" w:hAnsi="仿宋" w:eastAsia="仿宋"/>
          <w:color w:val="000000"/>
          <w:kern w:val="0"/>
          <w:sz w:val="28"/>
          <w:szCs w:val="28"/>
        </w:rPr>
        <w:t>完成单位（含排序）：</w:t>
      </w:r>
      <w:r>
        <w:rPr>
          <w:rFonts w:ascii="宋体" w:hAnsi="宋体"/>
          <w:b/>
          <w:color w:val="000000"/>
          <w:kern w:val="0"/>
          <w:sz w:val="28"/>
          <w:szCs w:val="28"/>
        </w:rPr>
        <w:t>中南大学湘雅医院，中南大学，湖南冰溪科技有限公司，腾讯科技（北京）有限公司</w:t>
      </w:r>
    </w:p>
    <w:p>
      <w:pPr>
        <w:adjustRightInd w:val="0"/>
        <w:snapToGrid w:val="0"/>
        <w:spacing w:line="500" w:lineRule="exact"/>
        <w:rPr>
          <w:rFonts w:ascii="宋体" w:hAnsi="宋体"/>
          <w:b/>
          <w:color w:val="000000"/>
          <w:kern w:val="0"/>
          <w:sz w:val="28"/>
          <w:szCs w:val="28"/>
        </w:rPr>
      </w:pPr>
      <w:r>
        <w:rPr>
          <w:rFonts w:ascii="仿宋" w:hAnsi="仿宋" w:eastAsia="仿宋"/>
          <w:color w:val="000000"/>
          <w:kern w:val="0"/>
          <w:sz w:val="28"/>
          <w:szCs w:val="28"/>
        </w:rPr>
        <w:t>完成人（含排序）：</w:t>
      </w:r>
      <w:r>
        <w:rPr>
          <w:rFonts w:ascii="宋体" w:hAnsi="宋体"/>
          <w:b/>
          <w:color w:val="000000"/>
          <w:kern w:val="0"/>
          <w:sz w:val="28"/>
          <w:szCs w:val="28"/>
        </w:rPr>
        <w:t>陈翔，李吉，彭聪，沈敏学，匡叶红，李捷，赵爽，丁劲松，周文虎，朱武，粟娟，谢红付，陈旺青，肖易，吴贤</w:t>
      </w:r>
    </w:p>
    <w:p>
      <w:pPr>
        <w:adjustRightInd w:val="0"/>
        <w:snapToGrid w:val="0"/>
        <w:spacing w:line="500" w:lineRule="exact"/>
        <w:rPr>
          <w:rFonts w:hint="eastAsia" w:ascii="仿宋" w:hAnsi="仿宋" w:eastAsia="仿宋"/>
          <w:color w:val="000000"/>
          <w:kern w:val="0"/>
          <w:sz w:val="28"/>
          <w:szCs w:val="28"/>
        </w:rPr>
      </w:pPr>
      <w:r>
        <w:rPr>
          <w:rFonts w:ascii="仿宋" w:hAnsi="仿宋" w:eastAsia="仿宋"/>
          <w:color w:val="000000"/>
          <w:kern w:val="0"/>
          <w:sz w:val="28"/>
          <w:szCs w:val="28"/>
        </w:rPr>
        <w:t>项目简介（600—1</w:t>
      </w:r>
      <w:r>
        <w:rPr>
          <w:rFonts w:hint="eastAsia" w:ascii="仿宋" w:hAnsi="仿宋" w:eastAsia="仿宋"/>
          <w:color w:val="000000"/>
          <w:kern w:val="0"/>
          <w:sz w:val="28"/>
          <w:szCs w:val="28"/>
        </w:rPr>
        <w:t>2</w:t>
      </w:r>
      <w:r>
        <w:rPr>
          <w:rFonts w:ascii="仿宋" w:hAnsi="仿宋" w:eastAsia="仿宋"/>
          <w:color w:val="000000"/>
          <w:kern w:val="0"/>
          <w:sz w:val="28"/>
          <w:szCs w:val="28"/>
        </w:rPr>
        <w:t>00字，与申报推荐书</w:t>
      </w:r>
      <w:r>
        <w:rPr>
          <w:rFonts w:hint="eastAsia" w:ascii="仿宋" w:hAnsi="仿宋" w:eastAsia="仿宋"/>
          <w:color w:val="000000"/>
          <w:kern w:val="0"/>
          <w:sz w:val="28"/>
          <w:szCs w:val="28"/>
        </w:rPr>
        <w:t>“</w:t>
      </w:r>
      <w:r>
        <w:rPr>
          <w:rFonts w:ascii="仿宋" w:hAnsi="仿宋" w:eastAsia="仿宋"/>
          <w:color w:val="000000"/>
          <w:kern w:val="0"/>
          <w:sz w:val="28"/>
          <w:szCs w:val="28"/>
        </w:rPr>
        <w:t>项目简介</w:t>
      </w:r>
      <w:r>
        <w:rPr>
          <w:rFonts w:hint="eastAsia" w:ascii="仿宋" w:hAnsi="仿宋" w:eastAsia="仿宋"/>
          <w:color w:val="000000"/>
          <w:kern w:val="0"/>
          <w:sz w:val="28"/>
          <w:szCs w:val="28"/>
        </w:rPr>
        <w:t>”</w:t>
      </w:r>
      <w:r>
        <w:rPr>
          <w:rFonts w:ascii="仿宋" w:hAnsi="仿宋" w:eastAsia="仿宋"/>
          <w:color w:val="000000"/>
          <w:kern w:val="0"/>
          <w:sz w:val="28"/>
          <w:szCs w:val="28"/>
        </w:rPr>
        <w:t>一致）：</w:t>
      </w:r>
    </w:p>
    <w:p>
      <w:pPr>
        <w:autoSpaceDE w:val="0"/>
        <w:autoSpaceDN w:val="0"/>
        <w:adjustRightInd w:val="0"/>
        <w:spacing w:line="360" w:lineRule="exact"/>
        <w:rPr>
          <w:rFonts w:ascii="宋体" w:hAnsi="宋体"/>
          <w:kern w:val="0"/>
          <w:sz w:val="24"/>
        </w:rPr>
      </w:pPr>
      <w:r>
        <w:rPr>
          <w:rFonts w:hint="eastAsia"/>
          <w:kern w:val="0"/>
          <w:szCs w:val="21"/>
        </w:rPr>
        <w:t xml:space="preserve">   </w:t>
      </w:r>
      <w:r>
        <w:rPr>
          <w:rFonts w:hint="eastAsia" w:ascii="宋体" w:hAnsi="宋体"/>
          <w:kern w:val="0"/>
          <w:sz w:val="24"/>
        </w:rPr>
        <w:t xml:space="preserve"> </w:t>
      </w:r>
      <w:r>
        <w:rPr>
          <w:rFonts w:ascii="宋体" w:hAnsi="宋体"/>
          <w:kern w:val="0"/>
          <w:sz w:val="24"/>
        </w:rPr>
        <w:t>免疫相关性皮肤病主要包括银屑病、玫瑰痤疮和慢性荨麻疹等，中国超1亿患者，缺乏系统性研究和防治体系。本项目经二十年努力，</w:t>
      </w:r>
      <w:r>
        <w:rPr>
          <w:rFonts w:ascii="宋体" w:hAnsi="宋体"/>
          <w:b/>
          <w:kern w:val="0"/>
          <w:sz w:val="24"/>
          <w:u w:val="single"/>
        </w:rPr>
        <w:t>揭示了免疫相关性皮肤病流行病学新特征，阐明了发病新机制并研发新产品，创建了智能化诊断新方法及推广应用新模式，形成了</w:t>
      </w:r>
      <w:r>
        <w:rPr>
          <w:rFonts w:ascii="宋体" w:hAnsi="宋体"/>
          <w:b/>
          <w:color w:val="000000"/>
          <w:kern w:val="0"/>
          <w:sz w:val="24"/>
          <w:u w:val="single"/>
        </w:rPr>
        <w:t>从危险因素监测、新技术/产品研发、新技术推广应用的预</w:t>
      </w:r>
      <w:r>
        <w:rPr>
          <w:rFonts w:ascii="宋体" w:hAnsi="宋体"/>
          <w:b/>
          <w:kern w:val="0"/>
          <w:sz w:val="24"/>
          <w:u w:val="single"/>
        </w:rPr>
        <w:t>防诊治体系，</w:t>
      </w:r>
      <w:r>
        <w:rPr>
          <w:rFonts w:ascii="宋体" w:hAnsi="宋体"/>
          <w:kern w:val="0"/>
          <w:sz w:val="24"/>
        </w:rPr>
        <w:t>主要成果如下：</w:t>
      </w:r>
    </w:p>
    <w:p>
      <w:pPr>
        <w:spacing w:line="360" w:lineRule="exact"/>
        <w:contextualSpacing/>
        <w:rPr>
          <w:rFonts w:ascii="宋体" w:hAnsi="宋体"/>
          <w:b/>
          <w:bCs/>
          <w:sz w:val="24"/>
          <w:u w:val="single"/>
        </w:rPr>
      </w:pPr>
      <w:r>
        <w:rPr>
          <w:rFonts w:ascii="宋体" w:hAnsi="宋体"/>
          <w:b/>
          <w:bCs/>
          <w:kern w:val="0"/>
          <w:sz w:val="24"/>
          <w:u w:val="single"/>
        </w:rPr>
        <w:t>1.</w:t>
      </w:r>
      <w:r>
        <w:rPr>
          <w:rFonts w:ascii="宋体" w:hAnsi="宋体"/>
          <w:b/>
          <w:bCs/>
          <w:sz w:val="24"/>
          <w:u w:val="single"/>
        </w:rPr>
        <w:t xml:space="preserve"> 揭示了</w:t>
      </w:r>
      <w:r>
        <w:rPr>
          <w:rFonts w:ascii="宋体" w:hAnsi="宋体"/>
          <w:b/>
          <w:bCs/>
          <w:kern w:val="0"/>
          <w:sz w:val="24"/>
          <w:u w:val="single"/>
        </w:rPr>
        <w:t>免疫相关性皮肤病的患病率随社会经济地位上升的“阶梯现象”，从膳食、代谢的新视角提出该疾病分布规律的流行病学解释。</w:t>
      </w:r>
    </w:p>
    <w:p>
      <w:pPr>
        <w:autoSpaceDE w:val="0"/>
        <w:autoSpaceDN w:val="0"/>
        <w:adjustRightInd w:val="0"/>
        <w:spacing w:line="360" w:lineRule="exact"/>
        <w:rPr>
          <w:rFonts w:ascii="宋体" w:hAnsi="宋体"/>
          <w:bCs/>
          <w:kern w:val="0"/>
          <w:sz w:val="24"/>
        </w:rPr>
      </w:pPr>
      <w:r>
        <w:rPr>
          <w:rFonts w:ascii="宋体" w:hAnsi="宋体"/>
          <w:bCs/>
          <w:kern w:val="0"/>
          <w:sz w:val="24"/>
        </w:rPr>
        <w:t xml:space="preserve">    基于原有工作基础创新方法，牵头制定了</w:t>
      </w:r>
      <w:r>
        <w:rPr>
          <w:rFonts w:ascii="宋体" w:hAnsi="宋体"/>
          <w:kern w:val="0"/>
          <w:sz w:val="24"/>
        </w:rPr>
        <w:t>《皮肤病流行病学研究专家共识》。</w:t>
      </w:r>
      <w:r>
        <w:rPr>
          <w:rFonts w:ascii="宋体" w:hAnsi="宋体"/>
          <w:bCs/>
          <w:kern w:val="0"/>
          <w:sz w:val="24"/>
        </w:rPr>
        <w:t>开展国内规模最大的免疫相关性皮肤病流行病学调查，首次报道中国人玫瑰痤疮患病率，更新银屑病等12种皮肤病的患病率</w:t>
      </w:r>
      <w:r>
        <w:rPr>
          <w:rFonts w:ascii="宋体" w:hAnsi="宋体"/>
          <w:kern w:val="0"/>
          <w:sz w:val="24"/>
        </w:rPr>
        <w:t>，</w:t>
      </w:r>
      <w:r>
        <w:rPr>
          <w:rFonts w:ascii="宋体" w:hAnsi="宋体"/>
          <w:sz w:val="24"/>
        </w:rPr>
        <w:t>首次揭示了疾病健康效应值和与社会经济水平相关的“阶梯现象”，</w:t>
      </w:r>
      <w:r>
        <w:rPr>
          <w:rFonts w:ascii="宋体" w:hAnsi="宋体"/>
          <w:bCs/>
          <w:kern w:val="0"/>
          <w:sz w:val="24"/>
        </w:rPr>
        <w:t>系统揭示了疾病暴露组学的共性和个性特征：包括代谢和肥胖等生物学因素、情绪和压力等心理学因素、膳食和社会应激等环境因素，为疾病防控提供了全新策略。</w:t>
      </w:r>
    </w:p>
    <w:p>
      <w:pPr>
        <w:widowControl/>
        <w:spacing w:line="360" w:lineRule="exact"/>
        <w:contextualSpacing/>
        <w:rPr>
          <w:rFonts w:ascii="宋体" w:hAnsi="宋体"/>
          <w:b/>
          <w:kern w:val="0"/>
          <w:sz w:val="24"/>
          <w:u w:val="single"/>
        </w:rPr>
      </w:pPr>
      <w:r>
        <w:rPr>
          <w:rFonts w:ascii="宋体" w:hAnsi="宋体"/>
          <w:b/>
          <w:bCs/>
          <w:kern w:val="0"/>
          <w:sz w:val="24"/>
          <w:u w:val="single"/>
        </w:rPr>
        <w:t>2</w:t>
      </w:r>
      <w:r>
        <w:rPr>
          <w:rFonts w:ascii="宋体" w:hAnsi="宋体"/>
          <w:b/>
          <w:kern w:val="0"/>
          <w:sz w:val="24"/>
          <w:u w:val="single"/>
        </w:rPr>
        <w:t>.</w:t>
      </w:r>
      <w:r>
        <w:rPr>
          <w:rFonts w:hint="eastAsia" w:ascii="宋体" w:hAnsi="宋体"/>
          <w:b/>
          <w:kern w:val="0"/>
          <w:sz w:val="24"/>
          <w:u w:val="single"/>
        </w:rPr>
        <w:t xml:space="preserve"> </w:t>
      </w:r>
      <w:r>
        <w:rPr>
          <w:rFonts w:ascii="宋体" w:hAnsi="宋体"/>
          <w:b/>
          <w:kern w:val="0"/>
          <w:sz w:val="24"/>
          <w:u w:val="single"/>
        </w:rPr>
        <w:t>新发现CD147等致病关键分子，阐明免疫相关性皮肤病代谢-免疫发病新机制。</w:t>
      </w:r>
    </w:p>
    <w:p>
      <w:pPr>
        <w:widowControl/>
        <w:spacing w:line="360" w:lineRule="exact"/>
        <w:contextualSpacing/>
        <w:rPr>
          <w:rFonts w:ascii="宋体" w:hAnsi="宋体"/>
          <w:kern w:val="0"/>
          <w:sz w:val="24"/>
        </w:rPr>
      </w:pPr>
      <w:r>
        <w:rPr>
          <w:rFonts w:ascii="宋体" w:hAnsi="宋体"/>
          <w:kern w:val="0"/>
          <w:sz w:val="24"/>
        </w:rPr>
        <w:t xml:space="preserve">    首次揭示了CD147在银屑病多个免疫学发病环节中的关键作用；ORAI1、HMGB1等分子在荨麻疹肥大细胞活化中的重要作用。首次系统描绘了银屑病等皮肤病的代谢差异特征，并首次报道了溶血磷脂酸、肉碱和腺苷等代谢物质通过多种途径调控免疫的新机制，为疾病防控提供了全新思路。</w:t>
      </w:r>
    </w:p>
    <w:p>
      <w:pPr>
        <w:widowControl/>
        <w:spacing w:line="360" w:lineRule="exact"/>
        <w:contextualSpacing/>
        <w:rPr>
          <w:rFonts w:ascii="宋体" w:hAnsi="宋体"/>
          <w:b/>
          <w:color w:val="000000"/>
          <w:sz w:val="24"/>
          <w:u w:val="single"/>
        </w:rPr>
      </w:pPr>
      <w:r>
        <w:rPr>
          <w:rFonts w:ascii="宋体" w:hAnsi="宋体"/>
          <w:b/>
          <w:color w:val="000000"/>
          <w:kern w:val="0"/>
          <w:sz w:val="24"/>
          <w:u w:val="single"/>
        </w:rPr>
        <w:t>3.</w:t>
      </w:r>
      <w:r>
        <w:rPr>
          <w:rFonts w:hint="eastAsia" w:ascii="宋体" w:hAnsi="宋体"/>
          <w:b/>
          <w:color w:val="000000"/>
          <w:kern w:val="0"/>
          <w:sz w:val="24"/>
          <w:u w:val="single"/>
        </w:rPr>
        <w:t xml:space="preserve"> </w:t>
      </w:r>
      <w:r>
        <w:rPr>
          <w:rFonts w:ascii="宋体" w:hAnsi="宋体"/>
          <w:b/>
          <w:color w:val="000000"/>
          <w:sz w:val="24"/>
          <w:u w:val="single"/>
        </w:rPr>
        <w:t>创建基于药物基因组学的个体化用药研究和指导体系,建立皮肤外用药研发相关新技术和评价系统,制定免疫相关性皮肤病诊断及治疗新标准。</w:t>
      </w:r>
    </w:p>
    <w:p>
      <w:pPr>
        <w:spacing w:line="360" w:lineRule="exact"/>
        <w:contextualSpacing/>
        <w:rPr>
          <w:rFonts w:ascii="宋体" w:hAnsi="宋体"/>
          <w:sz w:val="24"/>
        </w:rPr>
      </w:pPr>
      <w:r>
        <w:rPr>
          <w:rFonts w:ascii="宋体" w:hAnsi="宋体"/>
          <w:sz w:val="24"/>
        </w:rPr>
        <w:t xml:space="preserve">    牵头制定《中国玫瑰痤疮诊疗专家共识》,将玫瑰痤疮诊断特异度从86.4%提高到95.8%，提出该病新的分型和羟氯喹治疗新方法。率先</w:t>
      </w:r>
      <w:r>
        <w:rPr>
          <w:rFonts w:ascii="宋体" w:hAnsi="宋体"/>
          <w:kern w:val="0"/>
          <w:sz w:val="24"/>
        </w:rPr>
        <w:t>筛选到Orai1等近20个基因多态性位点与免疫相关性皮肤病药物疗效和不良反应密切相关。</w:t>
      </w:r>
      <w:r>
        <w:rPr>
          <w:rFonts w:ascii="宋体" w:hAnsi="宋体"/>
          <w:color w:val="000000"/>
          <w:sz w:val="24"/>
        </w:rPr>
        <w:t>建立了外用微粒缓控释制剂、多功能纳米载体等皮肤科外用药研发新技术和外用制剂综合评价方法，部分实现进口技术可替代。</w:t>
      </w:r>
    </w:p>
    <w:p>
      <w:pPr>
        <w:widowControl/>
        <w:spacing w:line="360" w:lineRule="exact"/>
        <w:contextualSpacing/>
        <w:rPr>
          <w:rFonts w:ascii="宋体" w:hAnsi="宋体"/>
          <w:b/>
          <w:kern w:val="0"/>
          <w:sz w:val="24"/>
          <w:u w:val="single"/>
        </w:rPr>
      </w:pPr>
      <w:r>
        <w:rPr>
          <w:rFonts w:ascii="宋体" w:hAnsi="宋体"/>
          <w:b/>
          <w:bCs/>
          <w:kern w:val="0"/>
          <w:sz w:val="24"/>
          <w:u w:val="single"/>
        </w:rPr>
        <w:t>4</w:t>
      </w:r>
      <w:r>
        <w:rPr>
          <w:rFonts w:ascii="宋体" w:hAnsi="宋体"/>
          <w:b/>
          <w:kern w:val="0"/>
          <w:sz w:val="24"/>
          <w:u w:val="single"/>
        </w:rPr>
        <w:t>.</w:t>
      </w:r>
      <w:r>
        <w:rPr>
          <w:rFonts w:hint="eastAsia" w:ascii="宋体" w:hAnsi="宋体"/>
          <w:b/>
          <w:kern w:val="0"/>
          <w:sz w:val="24"/>
          <w:u w:val="single"/>
        </w:rPr>
        <w:t xml:space="preserve"> </w:t>
      </w:r>
      <w:r>
        <w:rPr>
          <w:rFonts w:ascii="宋体" w:hAnsi="宋体"/>
          <w:b/>
          <w:kern w:val="0"/>
          <w:sz w:val="24"/>
          <w:u w:val="single"/>
        </w:rPr>
        <w:t>建立首个免疫相关性皮肤病大数据采集标准，实现千万级多模态数据融合集成。基于图像标识技术和多粒度评估算法创新，实现互联网+诊疗全流程智能化。</w:t>
      </w:r>
    </w:p>
    <w:p>
      <w:pPr>
        <w:autoSpaceDE w:val="0"/>
        <w:autoSpaceDN w:val="0"/>
        <w:spacing w:line="360" w:lineRule="exact"/>
        <w:ind w:firstLine="480" w:firstLineChars="200"/>
        <w:contextualSpacing/>
        <w:rPr>
          <w:rFonts w:ascii="宋体" w:hAnsi="宋体"/>
          <w:b/>
          <w:bCs/>
          <w:sz w:val="24"/>
        </w:rPr>
      </w:pPr>
      <w:r>
        <w:rPr>
          <w:rFonts w:ascii="宋体" w:hAnsi="宋体"/>
          <w:sz w:val="24"/>
        </w:rPr>
        <w:t>首次制定免疫相关性皮肤病全数据采集标准，实现100多家医院、500万以上皮肤病患者多模态数据清洗和汇集。建立同构语义编码提取、图像多维度特征序列拟合等技术，完成千万级数据融合集成。建立多粒度对称网络等人工智能新算法，形成皮肤病图像标识、诊断、严重程度评价和复发预测等智能化新技术，并成功应用于国内首家皮肤病专科互联网医院。</w:t>
      </w:r>
    </w:p>
    <w:p>
      <w:pPr>
        <w:autoSpaceDE w:val="0"/>
        <w:autoSpaceDN w:val="0"/>
        <w:spacing w:line="360" w:lineRule="exact"/>
        <w:ind w:firstLine="482" w:firstLineChars="200"/>
        <w:contextualSpacing/>
        <w:rPr>
          <w:rFonts w:ascii="宋体" w:hAnsi="宋体"/>
          <w:b/>
          <w:bCs/>
          <w:color w:val="4472C4"/>
          <w:sz w:val="24"/>
        </w:rPr>
      </w:pPr>
      <w:r>
        <w:rPr>
          <w:rFonts w:ascii="宋体" w:hAnsi="宋体"/>
          <w:b/>
          <w:bCs/>
          <w:color w:val="4472C4"/>
          <w:sz w:val="24"/>
        </w:rPr>
        <w:t>本项目15篇代表论文，包括2篇行业内指南/共识，1篇计算机国际顶级会议论文，11篇SCI论文发表在Sig Trans Tar Ther(IF:13.493)、J Allergy Clin Immunol(IF:10.228)、ACS NANO（IF:14.588）等国际知名期刊，影响因子总计96.827；研究成果被 Nat Rev Immunol(IF:40.358)、Annu Rev Immunol (IF:19.9)等杂志引用；10件代表性知识产权包括发明专利5项，软件著作权5项；项目新技术已成功实现转化千万元</w:t>
      </w:r>
      <w:r>
        <w:rPr>
          <w:rFonts w:hint="eastAsia" w:ascii="宋体" w:hAnsi="宋体"/>
          <w:b/>
          <w:bCs/>
          <w:color w:val="4472C4"/>
          <w:sz w:val="24"/>
        </w:rPr>
        <w:t>，</w:t>
      </w:r>
      <w:r>
        <w:rPr>
          <w:rFonts w:ascii="宋体" w:hAnsi="宋体"/>
          <w:b/>
          <w:bCs/>
          <w:color w:val="4472C4"/>
          <w:sz w:val="24"/>
        </w:rPr>
        <w:t>创经济效益过亿元。相关成果获省部级一等奖2项，二等奖1项及“吴阶平医药创新奖”</w:t>
      </w:r>
      <w:r>
        <w:rPr>
          <w:rFonts w:hint="eastAsia" w:ascii="宋体" w:hAnsi="宋体"/>
          <w:b/>
          <w:bCs/>
          <w:color w:val="4472C4"/>
          <w:sz w:val="24"/>
        </w:rPr>
        <w:t>、“</w:t>
      </w:r>
      <w:r>
        <w:rPr>
          <w:rFonts w:ascii="宋体" w:hAnsi="宋体"/>
          <w:b/>
          <w:bCs/>
          <w:color w:val="4472C4"/>
          <w:sz w:val="24"/>
        </w:rPr>
        <w:t>宝钢教育特等奖</w:t>
      </w:r>
      <w:r>
        <w:rPr>
          <w:rFonts w:hint="eastAsia" w:ascii="宋体" w:hAnsi="宋体"/>
          <w:b/>
          <w:bCs/>
          <w:color w:val="4472C4"/>
          <w:sz w:val="24"/>
        </w:rPr>
        <w:t>”</w:t>
      </w:r>
      <w:r>
        <w:rPr>
          <w:rFonts w:ascii="宋体" w:hAnsi="宋体"/>
          <w:b/>
          <w:bCs/>
          <w:color w:val="4472C4"/>
          <w:sz w:val="24"/>
        </w:rPr>
        <w:t>。</w:t>
      </w:r>
    </w:p>
    <w:p>
      <w:pPr>
        <w:adjustRightInd w:val="0"/>
        <w:snapToGrid w:val="0"/>
        <w:spacing w:line="500" w:lineRule="exact"/>
        <w:rPr>
          <w:rFonts w:hint="eastAsia" w:ascii="仿宋" w:hAnsi="仿宋" w:eastAsia="仿宋"/>
          <w:color w:val="000000"/>
          <w:kern w:val="0"/>
          <w:sz w:val="28"/>
          <w:szCs w:val="28"/>
        </w:rPr>
      </w:pPr>
    </w:p>
    <w:p>
      <w:pPr>
        <w:adjustRightInd w:val="0"/>
        <w:snapToGrid w:val="0"/>
        <w:spacing w:line="500" w:lineRule="exact"/>
        <w:rPr>
          <w:rFonts w:hint="eastAsia" w:ascii="仿宋" w:hAnsi="仿宋" w:eastAsia="仿宋"/>
          <w:color w:val="000000"/>
          <w:kern w:val="0"/>
          <w:sz w:val="28"/>
          <w:szCs w:val="28"/>
        </w:rPr>
      </w:pPr>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主要知识产权证明目录：（与申报推荐书“主要知识产权证明情况表”）一致）</w:t>
      </w:r>
    </w:p>
    <w:p>
      <w:pPr>
        <w:adjustRightInd w:val="0"/>
        <w:snapToGrid w:val="0"/>
        <w:spacing w:line="500" w:lineRule="exact"/>
        <w:rPr>
          <w:rFonts w:ascii="仿宋" w:hAnsi="仿宋" w:eastAsia="仿宋"/>
          <w:color w:val="000000"/>
          <w:kern w:val="0"/>
          <w:sz w:val="28"/>
          <w:szCs w:val="28"/>
        </w:rPr>
      </w:pPr>
    </w:p>
    <w:tbl>
      <w:tblPr>
        <w:tblStyle w:val="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67"/>
        <w:gridCol w:w="709"/>
        <w:gridCol w:w="1134"/>
        <w:gridCol w:w="850"/>
        <w:gridCol w:w="993"/>
        <w:gridCol w:w="106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759" w:type="dxa"/>
            <w:noWrap w:val="0"/>
            <w:vAlign w:val="center"/>
          </w:tcPr>
          <w:p>
            <w:pPr>
              <w:jc w:val="center"/>
              <w:rPr>
                <w:rFonts w:ascii="宋体" w:hAnsi="宋体"/>
                <w:b/>
                <w:szCs w:val="21"/>
              </w:rPr>
            </w:pPr>
            <w:r>
              <w:rPr>
                <w:rFonts w:ascii="宋体" w:hAnsi="宋体"/>
                <w:b/>
                <w:szCs w:val="21"/>
              </w:rPr>
              <w:t>知识产权类别</w:t>
            </w:r>
          </w:p>
        </w:tc>
        <w:tc>
          <w:tcPr>
            <w:tcW w:w="2367" w:type="dxa"/>
            <w:noWrap w:val="0"/>
            <w:vAlign w:val="center"/>
          </w:tcPr>
          <w:p>
            <w:pPr>
              <w:jc w:val="center"/>
              <w:rPr>
                <w:rFonts w:ascii="宋体" w:hAnsi="宋体"/>
                <w:b/>
                <w:szCs w:val="21"/>
              </w:rPr>
            </w:pPr>
            <w:r>
              <w:rPr>
                <w:rFonts w:ascii="宋体" w:hAnsi="宋体"/>
                <w:b/>
                <w:szCs w:val="21"/>
              </w:rPr>
              <w:t>知识产权</w:t>
            </w:r>
          </w:p>
          <w:p>
            <w:pPr>
              <w:jc w:val="center"/>
              <w:rPr>
                <w:rFonts w:ascii="宋体" w:hAnsi="宋体"/>
                <w:b/>
                <w:szCs w:val="21"/>
              </w:rPr>
            </w:pPr>
            <w:r>
              <w:rPr>
                <w:rFonts w:ascii="宋体" w:hAnsi="宋体"/>
                <w:b/>
                <w:szCs w:val="21"/>
              </w:rPr>
              <w:t>具体名称</w:t>
            </w:r>
          </w:p>
        </w:tc>
        <w:tc>
          <w:tcPr>
            <w:tcW w:w="709" w:type="dxa"/>
            <w:noWrap w:val="0"/>
            <w:vAlign w:val="center"/>
          </w:tcPr>
          <w:p>
            <w:pPr>
              <w:jc w:val="center"/>
              <w:rPr>
                <w:rFonts w:ascii="宋体" w:hAnsi="宋体"/>
                <w:b/>
                <w:szCs w:val="21"/>
              </w:rPr>
            </w:pPr>
            <w:r>
              <w:rPr>
                <w:rFonts w:ascii="宋体" w:hAnsi="宋体"/>
                <w:b/>
                <w:szCs w:val="21"/>
              </w:rPr>
              <w:t>国家</w:t>
            </w:r>
          </w:p>
          <w:p>
            <w:pPr>
              <w:jc w:val="center"/>
              <w:rPr>
                <w:rFonts w:ascii="宋体" w:hAnsi="宋体"/>
                <w:b/>
                <w:szCs w:val="21"/>
              </w:rPr>
            </w:pPr>
            <w:r>
              <w:rPr>
                <w:rFonts w:ascii="宋体" w:hAnsi="宋体"/>
                <w:b/>
                <w:szCs w:val="21"/>
              </w:rPr>
              <w:t>（地区）</w:t>
            </w:r>
          </w:p>
        </w:tc>
        <w:tc>
          <w:tcPr>
            <w:tcW w:w="1134" w:type="dxa"/>
            <w:noWrap w:val="0"/>
            <w:vAlign w:val="center"/>
          </w:tcPr>
          <w:p>
            <w:pPr>
              <w:jc w:val="center"/>
              <w:rPr>
                <w:rFonts w:ascii="宋体" w:hAnsi="宋体"/>
                <w:b/>
                <w:szCs w:val="21"/>
              </w:rPr>
            </w:pPr>
            <w:r>
              <w:rPr>
                <w:rFonts w:ascii="宋体" w:hAnsi="宋体"/>
                <w:b/>
                <w:szCs w:val="21"/>
              </w:rPr>
              <w:t>授权号</w:t>
            </w:r>
          </w:p>
        </w:tc>
        <w:tc>
          <w:tcPr>
            <w:tcW w:w="850" w:type="dxa"/>
            <w:noWrap w:val="0"/>
            <w:vAlign w:val="center"/>
          </w:tcPr>
          <w:p>
            <w:pPr>
              <w:jc w:val="center"/>
              <w:rPr>
                <w:rFonts w:ascii="宋体" w:hAnsi="宋体"/>
                <w:b/>
                <w:szCs w:val="21"/>
              </w:rPr>
            </w:pPr>
            <w:r>
              <w:rPr>
                <w:rFonts w:ascii="宋体" w:hAnsi="宋体"/>
                <w:b/>
                <w:szCs w:val="21"/>
              </w:rPr>
              <w:t>授权</w:t>
            </w:r>
          </w:p>
          <w:p>
            <w:pPr>
              <w:jc w:val="center"/>
              <w:rPr>
                <w:rFonts w:ascii="宋体" w:hAnsi="宋体"/>
                <w:b/>
                <w:szCs w:val="21"/>
              </w:rPr>
            </w:pPr>
            <w:r>
              <w:rPr>
                <w:rFonts w:ascii="宋体" w:hAnsi="宋体"/>
                <w:b/>
                <w:szCs w:val="21"/>
              </w:rPr>
              <w:t>日期</w:t>
            </w:r>
          </w:p>
        </w:tc>
        <w:tc>
          <w:tcPr>
            <w:tcW w:w="993" w:type="dxa"/>
            <w:noWrap w:val="0"/>
            <w:vAlign w:val="center"/>
          </w:tcPr>
          <w:p>
            <w:pPr>
              <w:jc w:val="center"/>
              <w:rPr>
                <w:rFonts w:ascii="宋体" w:hAnsi="宋体"/>
                <w:b/>
                <w:szCs w:val="21"/>
              </w:rPr>
            </w:pPr>
            <w:r>
              <w:rPr>
                <w:rFonts w:ascii="宋体" w:hAnsi="宋体"/>
                <w:b/>
                <w:szCs w:val="21"/>
              </w:rPr>
              <w:t>证书编号</w:t>
            </w:r>
          </w:p>
        </w:tc>
        <w:tc>
          <w:tcPr>
            <w:tcW w:w="1069" w:type="dxa"/>
            <w:noWrap w:val="0"/>
            <w:vAlign w:val="center"/>
          </w:tcPr>
          <w:p>
            <w:pPr>
              <w:jc w:val="center"/>
              <w:rPr>
                <w:rFonts w:ascii="宋体" w:hAnsi="宋体"/>
                <w:b/>
                <w:szCs w:val="21"/>
              </w:rPr>
            </w:pPr>
            <w:r>
              <w:rPr>
                <w:rFonts w:ascii="宋体" w:hAnsi="宋体"/>
                <w:b/>
                <w:szCs w:val="21"/>
              </w:rPr>
              <w:t>权利人</w:t>
            </w:r>
          </w:p>
        </w:tc>
        <w:tc>
          <w:tcPr>
            <w:tcW w:w="1606" w:type="dxa"/>
            <w:noWrap w:val="0"/>
            <w:vAlign w:val="center"/>
          </w:tcPr>
          <w:p>
            <w:pPr>
              <w:ind w:left="135"/>
              <w:jc w:val="center"/>
              <w:rPr>
                <w:rFonts w:ascii="宋体" w:hAnsi="宋体"/>
                <w:b/>
                <w:szCs w:val="21"/>
              </w:rPr>
            </w:pPr>
            <w:r>
              <w:rPr>
                <w:rFonts w:ascii="宋体" w:hAnsi="宋体"/>
                <w:b/>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contextualSpacing/>
              <w:jc w:val="center"/>
              <w:rPr>
                <w:b/>
                <w:szCs w:val="21"/>
              </w:rPr>
            </w:pPr>
            <w:r>
              <w:rPr>
                <w:b/>
                <w:szCs w:val="21"/>
              </w:rPr>
              <w:t>发明专利</w:t>
            </w:r>
          </w:p>
        </w:tc>
        <w:tc>
          <w:tcPr>
            <w:tcW w:w="2367" w:type="dxa"/>
            <w:noWrap w:val="0"/>
            <w:vAlign w:val="center"/>
          </w:tcPr>
          <w:p>
            <w:pPr>
              <w:contextualSpacing/>
              <w:jc w:val="center"/>
              <w:rPr>
                <w:b/>
                <w:szCs w:val="21"/>
              </w:rPr>
            </w:pPr>
            <w:r>
              <w:rPr>
                <w:b/>
                <w:szCs w:val="21"/>
              </w:rPr>
              <w:t>聚乙二醇作为活性成分在制备银屑病治疗药物中的应用及其药物</w:t>
            </w:r>
          </w:p>
        </w:tc>
        <w:tc>
          <w:tcPr>
            <w:tcW w:w="709" w:type="dxa"/>
            <w:noWrap w:val="0"/>
            <w:vAlign w:val="center"/>
          </w:tcPr>
          <w:p>
            <w:pPr>
              <w:contextualSpacing/>
              <w:jc w:val="center"/>
              <w:rPr>
                <w:b/>
                <w:szCs w:val="21"/>
              </w:rPr>
            </w:pPr>
            <w:r>
              <w:rPr>
                <w:b/>
                <w:szCs w:val="21"/>
              </w:rPr>
              <w:t>中国</w:t>
            </w:r>
          </w:p>
        </w:tc>
        <w:tc>
          <w:tcPr>
            <w:tcW w:w="1134" w:type="dxa"/>
            <w:noWrap w:val="0"/>
            <w:vAlign w:val="center"/>
          </w:tcPr>
          <w:p>
            <w:pPr>
              <w:contextualSpacing/>
              <w:jc w:val="center"/>
              <w:rPr>
                <w:b/>
                <w:szCs w:val="21"/>
              </w:rPr>
            </w:pPr>
            <w:r>
              <w:rPr>
                <w:b/>
                <w:szCs w:val="21"/>
              </w:rPr>
              <w:t>ZL201810048207.4</w:t>
            </w:r>
          </w:p>
        </w:tc>
        <w:tc>
          <w:tcPr>
            <w:tcW w:w="850" w:type="dxa"/>
            <w:noWrap w:val="0"/>
            <w:vAlign w:val="center"/>
          </w:tcPr>
          <w:p>
            <w:pPr>
              <w:contextualSpacing/>
              <w:jc w:val="center"/>
              <w:rPr>
                <w:b/>
                <w:szCs w:val="21"/>
              </w:rPr>
            </w:pPr>
            <w:r>
              <w:rPr>
                <w:b/>
                <w:szCs w:val="21"/>
              </w:rPr>
              <w:t>2018-01-18</w:t>
            </w:r>
          </w:p>
        </w:tc>
        <w:tc>
          <w:tcPr>
            <w:tcW w:w="993" w:type="dxa"/>
            <w:noWrap w:val="0"/>
            <w:vAlign w:val="center"/>
          </w:tcPr>
          <w:p>
            <w:pPr>
              <w:contextualSpacing/>
              <w:jc w:val="center"/>
              <w:rPr>
                <w:b/>
                <w:szCs w:val="21"/>
              </w:rPr>
            </w:pPr>
            <w:r>
              <w:rPr>
                <w:b/>
                <w:szCs w:val="21"/>
              </w:rPr>
              <w:t>第4146444-号</w:t>
            </w:r>
          </w:p>
        </w:tc>
        <w:tc>
          <w:tcPr>
            <w:tcW w:w="1069" w:type="dxa"/>
            <w:noWrap w:val="0"/>
            <w:vAlign w:val="center"/>
          </w:tcPr>
          <w:p>
            <w:pPr>
              <w:contextualSpacing/>
              <w:jc w:val="center"/>
              <w:rPr>
                <w:b/>
                <w:szCs w:val="21"/>
              </w:rPr>
            </w:pPr>
            <w:r>
              <w:rPr>
                <w:b/>
                <w:szCs w:val="21"/>
              </w:rPr>
              <w:t>中南大学湘雅医院</w:t>
            </w:r>
          </w:p>
        </w:tc>
        <w:tc>
          <w:tcPr>
            <w:tcW w:w="1606" w:type="dxa"/>
            <w:noWrap w:val="0"/>
            <w:vAlign w:val="center"/>
          </w:tcPr>
          <w:p>
            <w:pPr>
              <w:contextualSpacing/>
              <w:jc w:val="center"/>
              <w:rPr>
                <w:b/>
                <w:szCs w:val="21"/>
              </w:rPr>
            </w:pPr>
            <w:r>
              <w:rPr>
                <w:b/>
                <w:szCs w:val="21"/>
              </w:rPr>
              <w:t>陈翔；匡叶红；周星辰；朱武；鲁艳；覃群师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contextualSpacing/>
              <w:jc w:val="center"/>
              <w:rPr>
                <w:b/>
                <w:szCs w:val="21"/>
              </w:rPr>
            </w:pPr>
            <w:r>
              <w:rPr>
                <w:b/>
                <w:szCs w:val="21"/>
              </w:rPr>
              <w:t>发明专利</w:t>
            </w:r>
          </w:p>
        </w:tc>
        <w:tc>
          <w:tcPr>
            <w:tcW w:w="2367" w:type="dxa"/>
            <w:noWrap w:val="0"/>
            <w:vAlign w:val="center"/>
          </w:tcPr>
          <w:p>
            <w:pPr>
              <w:contextualSpacing/>
              <w:jc w:val="center"/>
              <w:rPr>
                <w:b/>
                <w:szCs w:val="21"/>
              </w:rPr>
            </w:pPr>
            <w:r>
              <w:rPr>
                <w:b/>
                <w:szCs w:val="21"/>
              </w:rPr>
              <w:t>一种治疗婴幼儿浅表血管瘤的盐酸普萘洛尔凝胶</w:t>
            </w:r>
          </w:p>
        </w:tc>
        <w:tc>
          <w:tcPr>
            <w:tcW w:w="709" w:type="dxa"/>
            <w:noWrap w:val="0"/>
            <w:vAlign w:val="center"/>
          </w:tcPr>
          <w:p>
            <w:pPr>
              <w:contextualSpacing/>
              <w:jc w:val="center"/>
              <w:rPr>
                <w:b/>
                <w:szCs w:val="21"/>
              </w:rPr>
            </w:pPr>
            <w:r>
              <w:rPr>
                <w:b/>
                <w:szCs w:val="21"/>
              </w:rPr>
              <w:t>中国</w:t>
            </w:r>
          </w:p>
        </w:tc>
        <w:tc>
          <w:tcPr>
            <w:tcW w:w="1134" w:type="dxa"/>
            <w:noWrap w:val="0"/>
            <w:vAlign w:val="center"/>
          </w:tcPr>
          <w:p>
            <w:pPr>
              <w:contextualSpacing/>
              <w:jc w:val="center"/>
              <w:rPr>
                <w:b/>
                <w:szCs w:val="21"/>
              </w:rPr>
            </w:pPr>
            <w:r>
              <w:rPr>
                <w:b/>
                <w:szCs w:val="21"/>
              </w:rPr>
              <w:t>ZL201210420731.2</w:t>
            </w:r>
          </w:p>
        </w:tc>
        <w:tc>
          <w:tcPr>
            <w:tcW w:w="850" w:type="dxa"/>
            <w:noWrap w:val="0"/>
            <w:vAlign w:val="center"/>
          </w:tcPr>
          <w:p>
            <w:pPr>
              <w:contextualSpacing/>
              <w:jc w:val="center"/>
              <w:rPr>
                <w:b/>
                <w:szCs w:val="21"/>
              </w:rPr>
            </w:pPr>
            <w:r>
              <w:rPr>
                <w:b/>
                <w:szCs w:val="21"/>
              </w:rPr>
              <w:t>2013-01-16</w:t>
            </w:r>
          </w:p>
        </w:tc>
        <w:tc>
          <w:tcPr>
            <w:tcW w:w="993" w:type="dxa"/>
            <w:noWrap w:val="0"/>
            <w:vAlign w:val="center"/>
          </w:tcPr>
          <w:p>
            <w:pPr>
              <w:contextualSpacing/>
              <w:jc w:val="center"/>
              <w:rPr>
                <w:b/>
                <w:szCs w:val="21"/>
              </w:rPr>
            </w:pPr>
            <w:r>
              <w:rPr>
                <w:b/>
                <w:szCs w:val="21"/>
              </w:rPr>
              <w:t>第1355705号</w:t>
            </w:r>
          </w:p>
        </w:tc>
        <w:tc>
          <w:tcPr>
            <w:tcW w:w="1069" w:type="dxa"/>
            <w:noWrap w:val="0"/>
            <w:vAlign w:val="center"/>
          </w:tcPr>
          <w:p>
            <w:pPr>
              <w:contextualSpacing/>
              <w:jc w:val="center"/>
              <w:rPr>
                <w:b/>
                <w:szCs w:val="21"/>
              </w:rPr>
            </w:pPr>
            <w:r>
              <w:rPr>
                <w:b/>
                <w:szCs w:val="21"/>
              </w:rPr>
              <w:t>中南大学湘雅医院</w:t>
            </w:r>
          </w:p>
        </w:tc>
        <w:tc>
          <w:tcPr>
            <w:tcW w:w="1606" w:type="dxa"/>
            <w:noWrap w:val="0"/>
            <w:vAlign w:val="center"/>
          </w:tcPr>
          <w:p>
            <w:pPr>
              <w:contextualSpacing/>
              <w:jc w:val="center"/>
              <w:rPr>
                <w:b/>
                <w:szCs w:val="21"/>
              </w:rPr>
            </w:pPr>
            <w:r>
              <w:rPr>
                <w:b/>
                <w:szCs w:val="21"/>
              </w:rPr>
              <w:t>陈翔；丁劲松；张江林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contextualSpacing/>
              <w:jc w:val="center"/>
              <w:rPr>
                <w:b/>
                <w:szCs w:val="21"/>
              </w:rPr>
            </w:pPr>
            <w:r>
              <w:rPr>
                <w:b/>
                <w:szCs w:val="21"/>
              </w:rPr>
              <w:t>发明专利</w:t>
            </w:r>
          </w:p>
        </w:tc>
        <w:tc>
          <w:tcPr>
            <w:tcW w:w="2367" w:type="dxa"/>
            <w:noWrap w:val="0"/>
            <w:vAlign w:val="center"/>
          </w:tcPr>
          <w:p>
            <w:pPr>
              <w:contextualSpacing/>
              <w:jc w:val="center"/>
              <w:rPr>
                <w:b/>
                <w:szCs w:val="21"/>
              </w:rPr>
            </w:pPr>
            <w:r>
              <w:rPr>
                <w:b/>
                <w:szCs w:val="21"/>
              </w:rPr>
              <w:t>甲氨喋呤和ABC抑制剂在制备治疗银屑病药物中的用途</w:t>
            </w:r>
          </w:p>
        </w:tc>
        <w:tc>
          <w:tcPr>
            <w:tcW w:w="709" w:type="dxa"/>
            <w:noWrap w:val="0"/>
            <w:vAlign w:val="center"/>
          </w:tcPr>
          <w:p>
            <w:pPr>
              <w:contextualSpacing/>
              <w:jc w:val="center"/>
              <w:rPr>
                <w:b/>
                <w:szCs w:val="21"/>
              </w:rPr>
            </w:pPr>
            <w:r>
              <w:rPr>
                <w:b/>
                <w:szCs w:val="21"/>
              </w:rPr>
              <w:t>中国</w:t>
            </w:r>
          </w:p>
        </w:tc>
        <w:tc>
          <w:tcPr>
            <w:tcW w:w="1134" w:type="dxa"/>
            <w:noWrap w:val="0"/>
            <w:vAlign w:val="center"/>
          </w:tcPr>
          <w:p>
            <w:pPr>
              <w:contextualSpacing/>
              <w:jc w:val="center"/>
              <w:rPr>
                <w:b/>
                <w:szCs w:val="21"/>
              </w:rPr>
            </w:pPr>
            <w:r>
              <w:rPr>
                <w:b/>
                <w:szCs w:val="21"/>
              </w:rPr>
              <w:t>ZL201010253221.1</w:t>
            </w:r>
          </w:p>
        </w:tc>
        <w:tc>
          <w:tcPr>
            <w:tcW w:w="850" w:type="dxa"/>
            <w:noWrap w:val="0"/>
            <w:vAlign w:val="center"/>
          </w:tcPr>
          <w:p>
            <w:pPr>
              <w:contextualSpacing/>
              <w:jc w:val="center"/>
              <w:rPr>
                <w:b/>
                <w:szCs w:val="21"/>
              </w:rPr>
            </w:pPr>
            <w:r>
              <w:rPr>
                <w:b/>
                <w:szCs w:val="21"/>
              </w:rPr>
              <w:t>2019-10-22</w:t>
            </w:r>
          </w:p>
        </w:tc>
        <w:tc>
          <w:tcPr>
            <w:tcW w:w="993" w:type="dxa"/>
            <w:noWrap w:val="0"/>
            <w:vAlign w:val="center"/>
          </w:tcPr>
          <w:p>
            <w:pPr>
              <w:contextualSpacing/>
              <w:jc w:val="center"/>
              <w:rPr>
                <w:b/>
                <w:szCs w:val="21"/>
              </w:rPr>
            </w:pPr>
            <w:r>
              <w:rPr>
                <w:b/>
                <w:szCs w:val="21"/>
              </w:rPr>
              <w:t>第1137764号</w:t>
            </w:r>
          </w:p>
        </w:tc>
        <w:tc>
          <w:tcPr>
            <w:tcW w:w="1069" w:type="dxa"/>
            <w:noWrap w:val="0"/>
            <w:vAlign w:val="center"/>
          </w:tcPr>
          <w:p>
            <w:pPr>
              <w:contextualSpacing/>
              <w:jc w:val="center"/>
              <w:rPr>
                <w:b/>
                <w:szCs w:val="21"/>
              </w:rPr>
            </w:pPr>
            <w:r>
              <w:rPr>
                <w:b/>
                <w:szCs w:val="21"/>
              </w:rPr>
              <w:t>中南大学</w:t>
            </w:r>
          </w:p>
        </w:tc>
        <w:tc>
          <w:tcPr>
            <w:tcW w:w="1606" w:type="dxa"/>
            <w:noWrap w:val="0"/>
            <w:vAlign w:val="center"/>
          </w:tcPr>
          <w:p>
            <w:pPr>
              <w:contextualSpacing/>
              <w:jc w:val="center"/>
              <w:rPr>
                <w:b/>
                <w:szCs w:val="21"/>
              </w:rPr>
            </w:pPr>
            <w:r>
              <w:rPr>
                <w:b/>
                <w:szCs w:val="21"/>
              </w:rPr>
              <w:t>陈翔；丁劲松；匡叶红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contextualSpacing/>
              <w:jc w:val="center"/>
              <w:rPr>
                <w:b/>
                <w:szCs w:val="21"/>
              </w:rPr>
            </w:pPr>
            <w:r>
              <w:rPr>
                <w:b/>
                <w:szCs w:val="21"/>
              </w:rPr>
              <w:t>发明专利</w:t>
            </w:r>
          </w:p>
        </w:tc>
        <w:tc>
          <w:tcPr>
            <w:tcW w:w="2367" w:type="dxa"/>
            <w:noWrap w:val="0"/>
            <w:vAlign w:val="center"/>
          </w:tcPr>
          <w:p>
            <w:pPr>
              <w:contextualSpacing/>
              <w:jc w:val="center"/>
              <w:rPr>
                <w:b/>
                <w:szCs w:val="21"/>
              </w:rPr>
            </w:pPr>
            <w:r>
              <w:rPr>
                <w:b/>
                <w:szCs w:val="21"/>
              </w:rPr>
              <w:t>与慢性荨麻疹易感性相关的ORAI1基因多态性位点及其检测制剂</w:t>
            </w:r>
          </w:p>
        </w:tc>
        <w:tc>
          <w:tcPr>
            <w:tcW w:w="709" w:type="dxa"/>
            <w:noWrap w:val="0"/>
            <w:vAlign w:val="center"/>
          </w:tcPr>
          <w:p>
            <w:pPr>
              <w:contextualSpacing/>
              <w:jc w:val="center"/>
              <w:rPr>
                <w:b/>
                <w:szCs w:val="21"/>
              </w:rPr>
            </w:pPr>
            <w:r>
              <w:rPr>
                <w:b/>
                <w:szCs w:val="21"/>
              </w:rPr>
              <w:t>中国</w:t>
            </w:r>
          </w:p>
        </w:tc>
        <w:tc>
          <w:tcPr>
            <w:tcW w:w="1134" w:type="dxa"/>
            <w:noWrap w:val="0"/>
            <w:vAlign w:val="center"/>
          </w:tcPr>
          <w:p>
            <w:pPr>
              <w:contextualSpacing/>
              <w:jc w:val="center"/>
              <w:rPr>
                <w:b/>
                <w:szCs w:val="21"/>
              </w:rPr>
            </w:pPr>
            <w:r>
              <w:rPr>
                <w:b/>
                <w:szCs w:val="21"/>
              </w:rPr>
              <w:t>ZL201610373580.8</w:t>
            </w:r>
          </w:p>
        </w:tc>
        <w:tc>
          <w:tcPr>
            <w:tcW w:w="850" w:type="dxa"/>
            <w:noWrap w:val="0"/>
            <w:vAlign w:val="center"/>
          </w:tcPr>
          <w:p>
            <w:pPr>
              <w:contextualSpacing/>
              <w:jc w:val="center"/>
              <w:rPr>
                <w:b/>
                <w:szCs w:val="21"/>
              </w:rPr>
            </w:pPr>
            <w:r>
              <w:rPr>
                <w:b/>
                <w:szCs w:val="21"/>
              </w:rPr>
              <w:t>2019-10-22</w:t>
            </w:r>
          </w:p>
        </w:tc>
        <w:tc>
          <w:tcPr>
            <w:tcW w:w="993" w:type="dxa"/>
            <w:noWrap w:val="0"/>
            <w:vAlign w:val="center"/>
          </w:tcPr>
          <w:p>
            <w:pPr>
              <w:contextualSpacing/>
              <w:jc w:val="center"/>
              <w:rPr>
                <w:b/>
                <w:szCs w:val="21"/>
              </w:rPr>
            </w:pPr>
            <w:r>
              <w:rPr>
                <w:b/>
                <w:szCs w:val="21"/>
              </w:rPr>
              <w:t>第3555356号</w:t>
            </w:r>
          </w:p>
        </w:tc>
        <w:tc>
          <w:tcPr>
            <w:tcW w:w="1069" w:type="dxa"/>
            <w:noWrap w:val="0"/>
            <w:vAlign w:val="center"/>
          </w:tcPr>
          <w:p>
            <w:pPr>
              <w:contextualSpacing/>
              <w:jc w:val="center"/>
              <w:rPr>
                <w:b/>
                <w:szCs w:val="21"/>
              </w:rPr>
            </w:pPr>
            <w:r>
              <w:rPr>
                <w:b/>
                <w:szCs w:val="21"/>
              </w:rPr>
              <w:t>中南大学湘雅医院</w:t>
            </w:r>
          </w:p>
        </w:tc>
        <w:tc>
          <w:tcPr>
            <w:tcW w:w="1606" w:type="dxa"/>
            <w:noWrap w:val="0"/>
            <w:vAlign w:val="center"/>
          </w:tcPr>
          <w:p>
            <w:pPr>
              <w:contextualSpacing/>
              <w:jc w:val="center"/>
              <w:rPr>
                <w:b/>
                <w:szCs w:val="21"/>
              </w:rPr>
            </w:pPr>
            <w:r>
              <w:rPr>
                <w:b/>
                <w:szCs w:val="21"/>
              </w:rPr>
              <w:t>李捷；陈翔；闫思聿；陈旺青；郭爱元；粟娟；朱武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发明专利</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病灶定位核心数据提取方法、系统、电子设备及存储介质</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ZL202010413451.3</w:t>
            </w:r>
          </w:p>
        </w:tc>
        <w:tc>
          <w:tcPr>
            <w:tcW w:w="850" w:type="dxa"/>
            <w:noWrap w:val="0"/>
            <w:vAlign w:val="center"/>
          </w:tcPr>
          <w:p>
            <w:pPr>
              <w:contextualSpacing/>
              <w:jc w:val="center"/>
              <w:rPr>
                <w:b/>
                <w:szCs w:val="21"/>
              </w:rPr>
            </w:pPr>
            <w:r>
              <w:rPr>
                <w:b/>
                <w:szCs w:val="21"/>
              </w:rPr>
              <w:t>2020-09-11</w:t>
            </w:r>
          </w:p>
        </w:tc>
        <w:tc>
          <w:tcPr>
            <w:tcW w:w="993" w:type="dxa"/>
            <w:noWrap w:val="0"/>
            <w:vAlign w:val="center"/>
          </w:tcPr>
          <w:p>
            <w:pPr>
              <w:contextualSpacing/>
              <w:jc w:val="center"/>
              <w:rPr>
                <w:b/>
                <w:szCs w:val="21"/>
              </w:rPr>
            </w:pPr>
            <w:r>
              <w:rPr>
                <w:b/>
                <w:szCs w:val="21"/>
              </w:rPr>
              <w:t>第3981267号</w:t>
            </w:r>
          </w:p>
        </w:tc>
        <w:tc>
          <w:tcPr>
            <w:tcW w:w="1069" w:type="dxa"/>
            <w:noWrap w:val="0"/>
            <w:vAlign w:val="center"/>
          </w:tcPr>
          <w:p>
            <w:pPr>
              <w:contextualSpacing/>
              <w:jc w:val="center"/>
              <w:rPr>
                <w:b/>
                <w:szCs w:val="21"/>
              </w:rPr>
            </w:pPr>
            <w:r>
              <w:rPr>
                <w:b/>
                <w:szCs w:val="21"/>
              </w:rPr>
              <w:t>中南大学</w:t>
            </w:r>
          </w:p>
        </w:tc>
        <w:tc>
          <w:tcPr>
            <w:tcW w:w="1606" w:type="dxa"/>
            <w:noWrap w:val="0"/>
            <w:vAlign w:val="center"/>
          </w:tcPr>
          <w:p>
            <w:pPr>
              <w:contextualSpacing/>
              <w:jc w:val="center"/>
              <w:rPr>
                <w:b/>
                <w:szCs w:val="21"/>
              </w:rPr>
            </w:pPr>
            <w:r>
              <w:rPr>
                <w:b/>
                <w:szCs w:val="21"/>
              </w:rPr>
              <w:t>郭克华；陈翔；王艺霏；黄勋；沈敏学；黄志军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基于人群风险评估的数据分析平台</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2018SR1007785</w:t>
            </w:r>
          </w:p>
        </w:tc>
        <w:tc>
          <w:tcPr>
            <w:tcW w:w="850"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2018年11月20日</w:t>
            </w:r>
          </w:p>
        </w:tc>
        <w:tc>
          <w:tcPr>
            <w:tcW w:w="993"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3336880</w:t>
            </w:r>
          </w:p>
        </w:tc>
        <w:tc>
          <w:tcPr>
            <w:tcW w:w="1069" w:type="dxa"/>
            <w:noWrap w:val="0"/>
            <w:vAlign w:val="center"/>
          </w:tcPr>
          <w:p>
            <w:pPr>
              <w:pStyle w:val="2"/>
              <w:spacing w:line="240" w:lineRule="auto"/>
              <w:ind w:firstLine="0" w:firstLineChars="0"/>
              <w:contextualSpacing/>
              <w:jc w:val="center"/>
              <w:rPr>
                <w:rFonts w:ascii="Times New Roman"/>
                <w:b/>
                <w:sz w:val="21"/>
                <w:szCs w:val="21"/>
              </w:rPr>
            </w:pPr>
          </w:p>
        </w:tc>
        <w:tc>
          <w:tcPr>
            <w:tcW w:w="1606"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陈翔，罗丹，沈敏学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基于生物效应剂量与早期损害相关的数据分析平台</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2018SR1007919</w:t>
            </w:r>
          </w:p>
        </w:tc>
        <w:tc>
          <w:tcPr>
            <w:tcW w:w="850"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2018年11月20日</w:t>
            </w:r>
          </w:p>
        </w:tc>
        <w:tc>
          <w:tcPr>
            <w:tcW w:w="993"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3337014</w:t>
            </w:r>
          </w:p>
        </w:tc>
        <w:tc>
          <w:tcPr>
            <w:tcW w:w="1069" w:type="dxa"/>
            <w:noWrap w:val="0"/>
            <w:vAlign w:val="center"/>
          </w:tcPr>
          <w:p>
            <w:pPr>
              <w:pStyle w:val="2"/>
              <w:spacing w:line="240" w:lineRule="auto"/>
              <w:ind w:firstLine="0" w:firstLineChars="0"/>
              <w:contextualSpacing/>
              <w:jc w:val="center"/>
              <w:rPr>
                <w:rFonts w:ascii="Times New Roman"/>
                <w:b/>
                <w:sz w:val="21"/>
                <w:szCs w:val="21"/>
              </w:rPr>
            </w:pPr>
          </w:p>
        </w:tc>
        <w:tc>
          <w:tcPr>
            <w:tcW w:w="1606"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陈翔，袁洪，黄志军，王安莉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银屑病智能诊疗辅助系统V1.0</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2018SR388222</w:t>
            </w:r>
          </w:p>
        </w:tc>
        <w:tc>
          <w:tcPr>
            <w:tcW w:w="850"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2017年12月13日</w:t>
            </w:r>
          </w:p>
        </w:tc>
        <w:tc>
          <w:tcPr>
            <w:tcW w:w="993"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2717317</w:t>
            </w:r>
          </w:p>
        </w:tc>
        <w:tc>
          <w:tcPr>
            <w:tcW w:w="1069" w:type="dxa"/>
            <w:noWrap w:val="0"/>
            <w:vAlign w:val="center"/>
          </w:tcPr>
          <w:p>
            <w:pPr>
              <w:pStyle w:val="2"/>
              <w:spacing w:line="240" w:lineRule="auto"/>
              <w:ind w:firstLine="0" w:firstLineChars="0"/>
              <w:contextualSpacing/>
              <w:jc w:val="center"/>
              <w:rPr>
                <w:rFonts w:ascii="Times New Roman"/>
                <w:b/>
                <w:sz w:val="21"/>
                <w:szCs w:val="21"/>
              </w:rPr>
            </w:pPr>
          </w:p>
        </w:tc>
        <w:tc>
          <w:tcPr>
            <w:tcW w:w="1606"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陈翔，赵爽，朱武，匡叶红，粟娟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面部皮肤疾病智能诊疗辅助系统V1.0</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2018SR388230</w:t>
            </w:r>
          </w:p>
        </w:tc>
        <w:tc>
          <w:tcPr>
            <w:tcW w:w="850"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2017年11月15日</w:t>
            </w:r>
          </w:p>
        </w:tc>
        <w:tc>
          <w:tcPr>
            <w:tcW w:w="993"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2717325</w:t>
            </w:r>
          </w:p>
        </w:tc>
        <w:tc>
          <w:tcPr>
            <w:tcW w:w="1069" w:type="dxa"/>
            <w:noWrap w:val="0"/>
            <w:vAlign w:val="center"/>
          </w:tcPr>
          <w:p>
            <w:pPr>
              <w:pStyle w:val="2"/>
              <w:spacing w:line="240" w:lineRule="auto"/>
              <w:ind w:firstLine="0" w:firstLineChars="0"/>
              <w:contextualSpacing/>
              <w:jc w:val="center"/>
              <w:rPr>
                <w:rFonts w:ascii="Times New Roman"/>
                <w:b/>
                <w:sz w:val="21"/>
                <w:szCs w:val="21"/>
              </w:rPr>
            </w:pPr>
          </w:p>
        </w:tc>
        <w:tc>
          <w:tcPr>
            <w:tcW w:w="1606"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陈翔，赵爽，黄凯，李芳芳，罗钟玲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软件著作权</w:t>
            </w:r>
          </w:p>
        </w:tc>
        <w:tc>
          <w:tcPr>
            <w:tcW w:w="2367"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皮肤瘙痒相关疾病智能诊疗辅助系统V1.0</w:t>
            </w:r>
          </w:p>
        </w:tc>
        <w:tc>
          <w:tcPr>
            <w:tcW w:w="709"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中国</w:t>
            </w:r>
          </w:p>
        </w:tc>
        <w:tc>
          <w:tcPr>
            <w:tcW w:w="1134"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2018SR388209</w:t>
            </w:r>
          </w:p>
        </w:tc>
        <w:tc>
          <w:tcPr>
            <w:tcW w:w="850"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2017年09月07日</w:t>
            </w:r>
          </w:p>
        </w:tc>
        <w:tc>
          <w:tcPr>
            <w:tcW w:w="993"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2717304</w:t>
            </w:r>
          </w:p>
        </w:tc>
        <w:tc>
          <w:tcPr>
            <w:tcW w:w="1069" w:type="dxa"/>
            <w:noWrap w:val="0"/>
            <w:vAlign w:val="center"/>
          </w:tcPr>
          <w:p>
            <w:pPr>
              <w:pStyle w:val="2"/>
              <w:spacing w:line="240" w:lineRule="auto"/>
              <w:ind w:firstLine="0" w:firstLineChars="0"/>
              <w:contextualSpacing/>
              <w:jc w:val="center"/>
              <w:rPr>
                <w:rFonts w:ascii="Times New Roman"/>
                <w:b/>
                <w:sz w:val="21"/>
                <w:szCs w:val="21"/>
              </w:rPr>
            </w:pPr>
          </w:p>
        </w:tc>
        <w:tc>
          <w:tcPr>
            <w:tcW w:w="1606" w:type="dxa"/>
            <w:noWrap w:val="0"/>
            <w:vAlign w:val="center"/>
          </w:tcPr>
          <w:p>
            <w:pPr>
              <w:pStyle w:val="2"/>
              <w:spacing w:line="240" w:lineRule="auto"/>
              <w:ind w:firstLine="0" w:firstLineChars="0"/>
              <w:contextualSpacing/>
              <w:jc w:val="center"/>
              <w:rPr>
                <w:rFonts w:ascii="Times New Roman"/>
                <w:b/>
                <w:sz w:val="21"/>
                <w:szCs w:val="21"/>
              </w:rPr>
            </w:pPr>
            <w:r>
              <w:rPr>
                <w:rFonts w:ascii="Times New Roman"/>
                <w:b/>
                <w:sz w:val="21"/>
                <w:szCs w:val="21"/>
              </w:rPr>
              <w:t>陈翔，粟娟，李捷，张雅，陈明亮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86251"/>
    <w:rsid w:val="2D08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2021-04-09T06:01:00Z</dcterms:created>
  <dc:creator>张荃</dc:creator>
  <cp:lastModifiedBy>张荃</cp:lastModifiedBy>
  <dcterms:modified xsi:type="dcterms:W3CDTF">2021-04-09T06:03:54Z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14EB2F6394B345FD81E5305F067FCCF4</vt:lpwstr>
  </property>
</Properties>
</file>